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45" w:rsidRDefault="000A4945" w:rsidP="002524DC">
      <w:pPr>
        <w:spacing w:after="0" w:line="240" w:lineRule="auto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noProof/>
          <w:color w:val="2F5496" w:themeColor="accent5" w:themeShade="BF"/>
          <w:szCs w:val="24"/>
        </w:rPr>
        <w:drawing>
          <wp:anchor distT="0" distB="0" distL="114300" distR="114300" simplePos="0" relativeHeight="251658240" behindDoc="0" locked="0" layoutInCell="1" allowOverlap="1" wp14:anchorId="5C8EFAF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145405" cy="792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45" w:rsidRDefault="000A4945" w:rsidP="002524DC">
      <w:pPr>
        <w:spacing w:after="0" w:line="240" w:lineRule="auto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2524DC" w:rsidRPr="000A4945" w:rsidRDefault="002524DC" w:rsidP="002524DC">
      <w:pPr>
        <w:spacing w:after="0" w:line="240" w:lineRule="auto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2524DC" w:rsidRPr="000A4945" w:rsidRDefault="002524DC" w:rsidP="002524DC">
      <w:pPr>
        <w:spacing w:after="0" w:line="240" w:lineRule="auto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2524DC" w:rsidRPr="000A4945" w:rsidRDefault="002524DC" w:rsidP="002524DC">
      <w:pPr>
        <w:spacing w:after="0" w:line="240" w:lineRule="auto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2524DC" w:rsidRPr="000A4945" w:rsidRDefault="002524DC" w:rsidP="002524DC">
      <w:pPr>
        <w:spacing w:after="0" w:line="240" w:lineRule="auto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0A4945" w:rsidRDefault="000A4945" w:rsidP="002524DC">
      <w:pPr>
        <w:spacing w:after="0" w:line="240" w:lineRule="auto"/>
        <w:jc w:val="center"/>
        <w:rPr>
          <w:rFonts w:ascii="Arial" w:eastAsia="PMingLiU" w:hAnsi="Arial"/>
          <w:b/>
          <w:color w:val="2F5496" w:themeColor="accent5" w:themeShade="BF"/>
          <w:sz w:val="28"/>
          <w:szCs w:val="24"/>
          <w:lang w:eastAsia="zh-TW"/>
        </w:rPr>
      </w:pPr>
    </w:p>
    <w:p w:rsidR="000A4945" w:rsidRDefault="00A8202B" w:rsidP="002524DC">
      <w:pPr>
        <w:spacing w:after="0" w:line="240" w:lineRule="auto"/>
        <w:jc w:val="center"/>
        <w:rPr>
          <w:rFonts w:ascii="Arial" w:eastAsia="PMingLiU" w:hAnsi="Arial"/>
          <w:b/>
          <w:color w:val="2F5496" w:themeColor="accent5" w:themeShade="BF"/>
          <w:sz w:val="28"/>
          <w:szCs w:val="24"/>
          <w:lang w:eastAsia="zh-TW"/>
        </w:rPr>
      </w:pPr>
      <w:r w:rsidRPr="000A4945">
        <w:rPr>
          <w:rFonts w:ascii="Arial" w:eastAsia="PMingLiU" w:hAnsi="Arial"/>
          <w:b/>
          <w:color w:val="2F5496" w:themeColor="accent5" w:themeShade="BF"/>
          <w:sz w:val="28"/>
          <w:szCs w:val="24"/>
          <w:lang w:eastAsia="zh-TW"/>
        </w:rPr>
        <w:t>中英雙語所</w:t>
      </w:r>
      <w:r w:rsidR="004863E6" w:rsidRPr="000A4945">
        <w:rPr>
          <w:rFonts w:ascii="Arial" w:eastAsia="PMingLiU" w:hAnsi="Arial"/>
          <w:b/>
          <w:color w:val="2F5496" w:themeColor="accent5" w:themeShade="BF"/>
          <w:sz w:val="28"/>
          <w:szCs w:val="24"/>
          <w:lang w:eastAsia="zh-TW"/>
        </w:rPr>
        <w:t>神學必備碩士</w:t>
      </w:r>
    </w:p>
    <w:p w:rsidR="00A8202B" w:rsidRPr="000A4945" w:rsidRDefault="00A8202B" w:rsidP="002524DC">
      <w:pPr>
        <w:spacing w:after="0" w:line="240" w:lineRule="auto"/>
        <w:jc w:val="center"/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</w:pPr>
      <w:r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 xml:space="preserve">CEB </w:t>
      </w:r>
      <w:r w:rsidR="00E52B16"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Master of Theological Essentials</w:t>
      </w:r>
      <w:r w:rsidR="00C1447B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 xml:space="preserve"> (</w:t>
      </w:r>
      <w:r w:rsidR="00E52B16"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M</w:t>
      </w:r>
      <w:r w:rsidR="002A77C0"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.</w:t>
      </w:r>
      <w:r w:rsidR="00E52B16"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T</w:t>
      </w:r>
      <w:r w:rsidR="002A77C0"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.</w:t>
      </w:r>
      <w:r w:rsidR="00E52B16"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E</w:t>
      </w:r>
      <w:r w:rsidR="002A77C0" w:rsidRPr="000A4945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.</w:t>
      </w:r>
      <w:r w:rsidR="00C1447B">
        <w:rPr>
          <w:rFonts w:ascii="Arial" w:eastAsia="PMingLiU" w:hAnsi="Arial" w:cs="Arial"/>
          <w:b/>
          <w:color w:val="2F5496" w:themeColor="accent5" w:themeShade="BF"/>
          <w:sz w:val="28"/>
          <w:szCs w:val="24"/>
          <w:lang w:eastAsia="zh-TW"/>
        </w:rPr>
        <w:t>)</w:t>
      </w:r>
    </w:p>
    <w:p w:rsidR="002524DC" w:rsidRPr="000A4945" w:rsidRDefault="002524DC" w:rsidP="002524DC">
      <w:pPr>
        <w:spacing w:after="0" w:line="240" w:lineRule="auto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2524DC" w:rsidRPr="000A4945" w:rsidRDefault="00A8118B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中英雙語所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(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CEB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) 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的神學必備碩士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(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M</w:t>
      </w:r>
      <w:r w:rsidR="002A77C0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.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T</w:t>
      </w:r>
      <w:r w:rsidR="002A77C0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.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E</w:t>
      </w:r>
      <w:r w:rsidR="002A77C0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.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, Master of Theological Essentials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) 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主旨是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為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在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會或其他學術單位的平信徒領袖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提供核心神學裝備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滿足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會和學生對較短學位的需求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著重</w:t>
      </w:r>
      <w:r w:rsidR="000232A8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道學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碩士</w:t>
      </w:r>
      <w:r w:rsidR="00C1447B">
        <w:rPr>
          <w:rFonts w:ascii="Arial" w:eastAsia="PMingLiU" w:hAnsi="Arial" w:hint="eastAsia"/>
          <w:color w:val="2F5496" w:themeColor="accent5" w:themeShade="BF"/>
          <w:szCs w:val="24"/>
          <w:lang w:eastAsia="zh-TW"/>
        </w:rPr>
        <w:t xml:space="preserve"> (</w:t>
      </w:r>
      <w:r w:rsidR="000232A8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M.Div.</w:t>
      </w:r>
      <w:r w:rsidR="00C1447B">
        <w:rPr>
          <w:rFonts w:ascii="Arial" w:eastAsia="PMingLiU" w:hAnsi="Arial" w:hint="eastAsia"/>
          <w:color w:val="2F5496" w:themeColor="accent5" w:themeShade="BF"/>
          <w:szCs w:val="24"/>
          <w:lang w:eastAsia="zh-TW"/>
        </w:rPr>
        <w:t xml:space="preserve">) 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程度的基礎聖經和神學訓練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卻是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會無法提供的</w:t>
      </w:r>
      <w:r w:rsidRPr="000A4945">
        <w:rPr>
          <w:rFonts w:ascii="Arial" w:eastAsia="PMingLiU" w:hAnsi="Arial" w:cs="Microsoft JhengHei" w:hint="eastAsia"/>
          <w:color w:val="2F5496" w:themeColor="accent5" w:themeShade="BF"/>
          <w:szCs w:val="24"/>
          <w:lang w:eastAsia="zh-TW"/>
        </w:rPr>
        <w:t>內</w:t>
      </w:r>
      <w:r w:rsidRPr="000A4945">
        <w:rPr>
          <w:rFonts w:ascii="Arial" w:eastAsia="PMingLiU" w:hAnsi="Arial" w:cs="MS Mincho" w:hint="eastAsia"/>
          <w:color w:val="2F5496" w:themeColor="accent5" w:themeShade="BF"/>
          <w:szCs w:val="24"/>
          <w:lang w:eastAsia="zh-TW"/>
        </w:rPr>
        <w:t>容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包括神學核心課程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(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24</w:t>
      </w:r>
      <w:r w:rsidR="0043314A">
        <w:rPr>
          <w:rFonts w:ascii="Arial" w:eastAsia="PMingLiU" w:hAnsi="Arial" w:hint="eastAsia"/>
          <w:color w:val="2F5496" w:themeColor="accent5" w:themeShade="BF"/>
          <w:szCs w:val="24"/>
          <w:lang w:eastAsia="zh-TW"/>
        </w:rPr>
        <w:t xml:space="preserve"> 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學分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) 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事奉領導課程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(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6</w:t>
      </w:r>
      <w:r w:rsidR="0043314A">
        <w:rPr>
          <w:rFonts w:ascii="Arial" w:eastAsia="PMingLiU" w:hAnsi="Arial" w:hint="eastAsia"/>
          <w:color w:val="2F5496" w:themeColor="accent5" w:themeShade="BF"/>
          <w:szCs w:val="24"/>
          <w:lang w:eastAsia="zh-TW"/>
        </w:rPr>
        <w:t xml:space="preserve"> 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學分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) 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="000232A8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及三門聖經神學課程。課程設計每學期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兩門課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="00BA1DE6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每年秋</w:t>
      </w:r>
      <w:r w:rsidR="000232A8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季</w:t>
      </w:r>
      <w:r w:rsidR="00BA1DE6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春季夏季三學期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三年完成學位。</w:t>
      </w:r>
      <w:r w:rsidR="000232A8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通過遠程同步</w:t>
      </w:r>
      <w:r w:rsidR="00832EA3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修習</w:t>
      </w:r>
      <w:r w:rsidR="000232A8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一些課程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="000232A8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可及時完成學位滿足要求。</w:t>
      </w:r>
    </w:p>
    <w:p w:rsidR="002524DC" w:rsidRPr="000A4945" w:rsidRDefault="002524DC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2524DC" w:rsidRPr="000A4945" w:rsidRDefault="00832EA3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金門神學院的使命是塑造基督徒領袖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促使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授群以開發基本領導能力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培養學生成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為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成熟有果效的領袖</w:t>
      </w:r>
      <w:r w:rsidR="002524DC" w:rsidRPr="000A4945">
        <w:rPr>
          <w:rFonts w:ascii="Arial" w:eastAsia="PMingLiU" w:hAnsi="Arial" w:hint="eastAsia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為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學位和課程目標提供依據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並作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為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完成學位時參考的試金石。</w:t>
      </w:r>
    </w:p>
    <w:p w:rsidR="002524DC" w:rsidRPr="000A4945" w:rsidRDefault="002524DC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bookmarkStart w:id="0" w:name="_GoBack"/>
      <w:bookmarkEnd w:id="0"/>
    </w:p>
    <w:p w:rsidR="0064334C" w:rsidRPr="000A4945" w:rsidRDefault="00832EA3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神學必備碩士</w:t>
      </w:r>
      <w:r w:rsidR="00C1447B">
        <w:rPr>
          <w:rFonts w:ascii="Arial" w:eastAsia="PMingLiU" w:hAnsi="Arial" w:hint="eastAsia"/>
          <w:color w:val="2F5496" w:themeColor="accent5" w:themeShade="BF"/>
          <w:szCs w:val="24"/>
          <w:lang w:eastAsia="zh-TW"/>
        </w:rPr>
        <w:t xml:space="preserve"> (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M.T.E.</w:t>
      </w:r>
      <w:r w:rsidR="00C1447B">
        <w:rPr>
          <w:rFonts w:ascii="Arial" w:eastAsia="PMingLiU" w:hAnsi="Arial" w:hint="eastAsia"/>
          <w:color w:val="2F5496" w:themeColor="accent5" w:themeShade="BF"/>
          <w:szCs w:val="24"/>
          <w:lang w:eastAsia="zh-TW"/>
        </w:rPr>
        <w:t xml:space="preserve">) 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是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為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所有事奉提供必備的聖經和神學基礎裝備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學科是神學</w:t>
      </w:r>
      <w:r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研</w:t>
      </w:r>
      <w:r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究碩士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(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M</w:t>
      </w:r>
      <w:r w:rsidR="00A8202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.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T</w:t>
      </w:r>
      <w:r w:rsidR="00A8202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.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S</w:t>
      </w:r>
      <w:r w:rsidR="00A8202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.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) 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和道學碩士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(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M</w:t>
      </w:r>
      <w:r w:rsidR="00182096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.Div.</w:t>
      </w:r>
      <w:r w:rsidR="00C1447B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) 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包括的核心科目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，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完成神學必備碩士可以進一步深造專業碩士學位。</w:t>
      </w:r>
    </w:p>
    <w:p w:rsidR="009A1724" w:rsidRDefault="009A1724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C1447B" w:rsidRPr="00C1447B" w:rsidRDefault="00B73983" w:rsidP="00B73983">
      <w:pPr>
        <w:spacing w:after="0" w:line="240" w:lineRule="auto"/>
        <w:contextualSpacing/>
        <w:rPr>
          <w:rFonts w:ascii="Arial" w:eastAsia="PMingLiU" w:hAnsi="Arial" w:cs="Times New Roman"/>
          <w:b/>
          <w:color w:val="2F5496" w:themeColor="accent5" w:themeShade="BF"/>
          <w:lang w:eastAsia="zh-TW"/>
        </w:rPr>
      </w:pP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>FA22, 2 evening courses</w:t>
      </w:r>
      <w:r w:rsidR="00523922">
        <w:rPr>
          <w:rFonts w:ascii="Arial" w:eastAsia="PMingLiU" w:hAnsi="Arial" w:cs="Times New Roman" w:hint="eastAsia"/>
          <w:b/>
          <w:color w:val="2F5496" w:themeColor="accent5" w:themeShade="BF"/>
          <w:lang w:eastAsia="zh-TW"/>
        </w:rPr>
        <w:t xml:space="preserve"> </w:t>
      </w:r>
      <w:r w:rsidR="00523922">
        <w:rPr>
          <w:rFonts w:ascii="Arial" w:eastAsia="PMingLiU" w:hAnsi="Arial" w:cs="Times New Roman" w:hint="eastAsia"/>
          <w:b/>
          <w:color w:val="2F5496" w:themeColor="accent5" w:themeShade="BF"/>
          <w:lang w:eastAsia="zh-TW"/>
        </w:rPr>
        <w:t>秋季晚間課程</w:t>
      </w:r>
    </w:p>
    <w:p w:rsidR="00B73983" w:rsidRPr="00C1447B" w:rsidRDefault="00B73983" w:rsidP="00B73983">
      <w:pPr>
        <w:spacing w:after="0" w:line="240" w:lineRule="auto"/>
        <w:contextualSpacing/>
        <w:rPr>
          <w:rFonts w:ascii="Arial" w:eastAsia="PMingLiU" w:hAnsi="Arial" w:cs="Times New Roman"/>
          <w:b/>
          <w:color w:val="2F5496" w:themeColor="accent5" w:themeShade="BF"/>
          <w:lang w:eastAsia="zh-TW"/>
        </w:rPr>
      </w:pP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>Course #</w:t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  <w:t>Course Title</w:t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</w:r>
      <w:r w:rsidR="00C1447B"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>Hrs.</w:t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  <w:t>Day</w:t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  <w:t xml:space="preserve">Time </w:t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ab/>
        <w:t>Faculty</w:t>
      </w:r>
    </w:p>
    <w:p w:rsidR="00B73983" w:rsidRPr="00C1447B" w:rsidRDefault="00B73983" w:rsidP="00B73983">
      <w:pPr>
        <w:spacing w:after="0" w:line="240" w:lineRule="auto"/>
        <w:contextualSpacing/>
        <w:rPr>
          <w:rFonts w:ascii="Arial" w:eastAsia="PMingLiU" w:hAnsi="Arial" w:cs="Times New Roman"/>
          <w:color w:val="2F5496" w:themeColor="accent5" w:themeShade="BF"/>
          <w:lang w:eastAsia="zh-TW"/>
        </w:rPr>
      </w:pP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L1211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="00C1447B"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Christian Theology I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3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 xml:space="preserve">M 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6:30-9:20 pm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proofErr w:type="spellStart"/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Eng</w:t>
      </w:r>
      <w:proofErr w:type="spellEnd"/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 xml:space="preserve">* </w:t>
      </w:r>
    </w:p>
    <w:p w:rsidR="00C1447B" w:rsidRDefault="00B73983" w:rsidP="00B73983">
      <w:pPr>
        <w:spacing w:after="0" w:line="240" w:lineRule="auto"/>
        <w:contextualSpacing/>
        <w:rPr>
          <w:rFonts w:ascii="Arial" w:eastAsia="PMingLiU" w:hAnsi="Arial" w:cs="Times New Roman"/>
          <w:color w:val="2F5496" w:themeColor="accent5" w:themeShade="BF"/>
          <w:lang w:eastAsia="zh-TW"/>
        </w:rPr>
      </w:pP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S1312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="00C1447B"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New Testament Intro I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3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Thu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6:30-9:20 pm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Lai*</w:t>
      </w:r>
    </w:p>
    <w:p w:rsidR="00B73983" w:rsidRPr="00C1447B" w:rsidRDefault="00B73983" w:rsidP="00B73983">
      <w:pPr>
        <w:spacing w:after="0" w:line="240" w:lineRule="auto"/>
        <w:contextualSpacing/>
        <w:rPr>
          <w:rFonts w:ascii="Arial" w:eastAsia="PMingLiU" w:hAnsi="Arial" w:cs="Times New Roman"/>
          <w:color w:val="2F5496" w:themeColor="accent5" w:themeShade="BF"/>
          <w:lang w:eastAsia="zh-TW"/>
        </w:rPr>
      </w:pPr>
      <w:r w:rsidRPr="00C1447B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>SP23</w:t>
      </w:r>
      <w:r w:rsidR="00523922">
        <w:rPr>
          <w:rFonts w:ascii="Arial" w:eastAsia="PMingLiU" w:hAnsi="Arial" w:cs="Times New Roman"/>
          <w:b/>
          <w:color w:val="2F5496" w:themeColor="accent5" w:themeShade="BF"/>
          <w:lang w:eastAsia="zh-TW"/>
        </w:rPr>
        <w:t xml:space="preserve">, 2 evening courses </w:t>
      </w:r>
      <w:r w:rsidR="00523922">
        <w:rPr>
          <w:rFonts w:ascii="Arial" w:eastAsia="PMingLiU" w:hAnsi="Arial" w:cs="Times New Roman" w:hint="eastAsia"/>
          <w:b/>
          <w:color w:val="2F5496" w:themeColor="accent5" w:themeShade="BF"/>
          <w:lang w:eastAsia="zh-TW"/>
        </w:rPr>
        <w:t>春季晚間課程</w:t>
      </w:r>
    </w:p>
    <w:p w:rsidR="00B73983" w:rsidRPr="00C1447B" w:rsidRDefault="00B73983" w:rsidP="00B73983">
      <w:pPr>
        <w:spacing w:after="0" w:line="240" w:lineRule="auto"/>
        <w:contextualSpacing/>
        <w:rPr>
          <w:rFonts w:ascii="Arial" w:eastAsia="PMingLiU" w:hAnsi="Arial" w:cs="Times New Roman"/>
          <w:color w:val="2F5496" w:themeColor="accent5" w:themeShade="BF"/>
          <w:lang w:eastAsia="zh-TW"/>
        </w:rPr>
      </w:pP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L1212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="00C1447B"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Christian Theology II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3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 xml:space="preserve">M 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6:30-9:20 pm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proofErr w:type="spellStart"/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Eng</w:t>
      </w:r>
      <w:proofErr w:type="spellEnd"/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 xml:space="preserve">* </w:t>
      </w:r>
    </w:p>
    <w:p w:rsidR="00B73983" w:rsidRPr="00C1447B" w:rsidRDefault="00B73983" w:rsidP="00B73983">
      <w:pPr>
        <w:spacing w:after="0" w:line="240" w:lineRule="auto"/>
        <w:contextualSpacing/>
        <w:rPr>
          <w:rFonts w:ascii="Arial" w:eastAsia="PMingLiU" w:hAnsi="Arial" w:cs="Times New Roman"/>
          <w:color w:val="2F5496" w:themeColor="accent5" w:themeShade="BF"/>
          <w:lang w:eastAsia="zh-TW"/>
        </w:rPr>
      </w:pP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S1313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="00C1447B"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>New Testament Intro II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3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Thu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6:30-9:20 pm</w:t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</w:r>
      <w:r w:rsidRPr="00C1447B">
        <w:rPr>
          <w:rFonts w:ascii="Arial" w:eastAsia="PMingLiU" w:hAnsi="Arial" w:cs="Times New Roman"/>
          <w:color w:val="2F5496" w:themeColor="accent5" w:themeShade="BF"/>
          <w:lang w:eastAsia="zh-TW"/>
        </w:rPr>
        <w:tab/>
        <w:t>Lai*</w:t>
      </w:r>
    </w:p>
    <w:p w:rsidR="00B73983" w:rsidRPr="00C1447B" w:rsidRDefault="00B73983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</w:p>
    <w:p w:rsidR="000A4945" w:rsidRDefault="00E52B16" w:rsidP="000A4945">
      <w:pPr>
        <w:spacing w:after="0" w:line="240" w:lineRule="auto"/>
        <w:jc w:val="both"/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Course Requirements</w:t>
      </w:r>
      <w:r w:rsidR="002A77C0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 xml:space="preserve"> </w:t>
      </w:r>
      <w:r w:rsidR="007A337A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必修課程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School of Theology</w:t>
      </w:r>
      <w:r w:rsidR="007A337A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 xml:space="preserve"> </w:t>
      </w:r>
      <w:r w:rsidR="007A337A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神</w:t>
      </w:r>
      <w:r w:rsidR="002524DC" w:rsidRPr="000A4945">
        <w:rPr>
          <w:rFonts w:ascii="Arial" w:eastAsia="PMingLiU" w:hAnsi="Arial" w:hint="eastAsia"/>
          <w:b/>
          <w:color w:val="2F5496" w:themeColor="accent5" w:themeShade="BF"/>
          <w:szCs w:val="24"/>
          <w:lang w:eastAsia="zh-TW"/>
        </w:rPr>
        <w:t>學</w:t>
      </w:r>
      <w:r w:rsidR="002524DC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2524DC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2524DC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2524DC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2524DC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2524DC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2524DC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Course#</w:t>
      </w: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Hours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Old Testament Introduction 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舊約</w:t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概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論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S1112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Old Testament Introduction II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舊約</w:t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概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論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II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S1113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New Testament Introduction 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新約</w:t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概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論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S1312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New Testament Introduction II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新約</w:t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概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論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S1313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Biblical Hermeneutics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基礎釋經學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S2521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2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Church History 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I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會歷史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L1111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Church History II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會歷史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II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L1112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Baptist Heritage and Practice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浸信會傳統與實踐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L1113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2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Christian Theology 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基督</w:t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神學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L1211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Christian Theology II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基督</w:t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神學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II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L1212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3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Christian Ethics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基督</w:t>
      </w:r>
      <w:r w:rsidR="00A8118B" w:rsidRPr="000A4945">
        <w:rPr>
          <w:rFonts w:ascii="Arial" w:eastAsia="PMingLiU" w:hAnsi="Arial" w:cs="PMingLiU" w:hint="eastAsia"/>
          <w:color w:val="2F5496" w:themeColor="accent5" w:themeShade="BF"/>
          <w:szCs w:val="24"/>
          <w:lang w:eastAsia="zh-TW"/>
        </w:rPr>
        <w:t>教</w:t>
      </w:r>
      <w:r w:rsidR="00A8118B" w:rsidRPr="000A4945">
        <w:rPr>
          <w:rFonts w:ascii="Arial" w:eastAsia="PMingLiU" w:hAnsi="Arial" w:cs="Batang" w:hint="eastAsia"/>
          <w:color w:val="2F5496" w:themeColor="accent5" w:themeShade="BF"/>
          <w:szCs w:val="24"/>
          <w:lang w:eastAsia="zh-TW"/>
        </w:rPr>
        <w:t>倫理學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L1411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2</w:t>
      </w:r>
    </w:p>
    <w:p w:rsidR="000A4945" w:rsidRPr="000A4945" w:rsidRDefault="00A77690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Theological Reading Seminar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神學英文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  <w:t>P1215</w:t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2</w:t>
      </w:r>
    </w:p>
    <w:p w:rsidR="000A4945" w:rsidRPr="000A4945" w:rsidRDefault="000A4945" w:rsidP="00523922">
      <w:pPr>
        <w:spacing w:after="0" w:line="240" w:lineRule="auto"/>
        <w:ind w:left="8640" w:firstLine="720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3</w:t>
      </w:r>
      <w:r w:rsidR="00A77690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2</w:t>
      </w:r>
    </w:p>
    <w:p w:rsidR="00E52B16" w:rsidRPr="000A4945" w:rsidRDefault="00B90DD1" w:rsidP="000A4945">
      <w:pPr>
        <w:spacing w:after="0" w:line="240" w:lineRule="auto"/>
        <w:jc w:val="both"/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School of Christian Leadership</w:t>
      </w:r>
      <w:r w:rsidR="007A337A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 xml:space="preserve"> </w:t>
      </w:r>
      <w:r w:rsidR="007A337A"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領導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Intr</w:t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oduction to Ministry Formation*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事奉操練入門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P1111</w:t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1</w:t>
      </w:r>
    </w:p>
    <w:p w:rsidR="00E52B16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Re</w:t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flection on Ministry Formation*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 xml:space="preserve"> 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事奉操練回顧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P1116</w:t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1</w:t>
      </w:r>
    </w:p>
    <w:p w:rsidR="002524DC" w:rsidRPr="000A4945" w:rsidRDefault="00E52B16" w:rsidP="000A4945">
      <w:pPr>
        <w:spacing w:after="0" w:line="240" w:lineRule="auto"/>
        <w:jc w:val="both"/>
        <w:rPr>
          <w:rFonts w:ascii="Arial" w:eastAsia="PMingLiU" w:hAnsi="Arial"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Leadership in Mi</w:t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nistry Practicum I &amp; II**</w:t>
      </w:r>
      <w:r w:rsidR="002524DC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事奉領導實習</w:t>
      </w:r>
      <w:r w:rsidR="00A8118B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P1121-22</w:t>
      </w:r>
      <w:r w:rsidR="00B90DD1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523922">
        <w:rPr>
          <w:rFonts w:ascii="Arial" w:eastAsia="PMingLiU" w:hAnsi="Arial"/>
          <w:color w:val="2F5496" w:themeColor="accent5" w:themeShade="BF"/>
          <w:szCs w:val="24"/>
          <w:lang w:eastAsia="zh-TW"/>
        </w:rPr>
        <w:tab/>
      </w:r>
      <w:r w:rsidR="000701D5" w:rsidRPr="000A4945">
        <w:rPr>
          <w:rFonts w:ascii="Arial" w:eastAsia="PMingLiU" w:hAnsi="Arial"/>
          <w:color w:val="2F5496" w:themeColor="accent5" w:themeShade="BF"/>
          <w:szCs w:val="24"/>
          <w:lang w:eastAsia="zh-TW"/>
        </w:rPr>
        <w:t>4+</w:t>
      </w:r>
    </w:p>
    <w:p w:rsidR="000A4945" w:rsidRDefault="000A4945" w:rsidP="000A4945">
      <w:pPr>
        <w:spacing w:after="0" w:line="240" w:lineRule="auto"/>
        <w:ind w:left="3600" w:firstLine="720"/>
        <w:jc w:val="both"/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</w:pPr>
    </w:p>
    <w:p w:rsidR="000701D5" w:rsidRPr="000A4945" w:rsidRDefault="000701D5" w:rsidP="000A4945">
      <w:pPr>
        <w:spacing w:after="0" w:line="240" w:lineRule="auto"/>
        <w:ind w:left="3600" w:firstLine="720"/>
        <w:jc w:val="both"/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</w:pP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畢業基本學分</w:t>
      </w:r>
      <w:r w:rsidR="002A77C0" w:rsidRPr="000A4945">
        <w:rPr>
          <w:rFonts w:ascii="Arial" w:eastAsia="PMingLiU" w:hAnsi="Arial" w:hint="eastAsia"/>
          <w:b/>
          <w:color w:val="2F5496" w:themeColor="accent5" w:themeShade="BF"/>
          <w:szCs w:val="24"/>
          <w:lang w:eastAsia="zh-TW"/>
        </w:rPr>
        <w:t xml:space="preserve"> </w:t>
      </w: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Minimum hours to graduate</w:t>
      </w:r>
      <w:r w:rsidR="00523922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ab/>
      </w:r>
      <w:r w:rsidRPr="000A4945">
        <w:rPr>
          <w:rFonts w:ascii="Arial" w:eastAsia="PMingLiU" w:hAnsi="Arial"/>
          <w:b/>
          <w:color w:val="2F5496" w:themeColor="accent5" w:themeShade="BF"/>
          <w:szCs w:val="24"/>
          <w:lang w:eastAsia="zh-TW"/>
        </w:rPr>
        <w:t>38</w:t>
      </w:r>
    </w:p>
    <w:sectPr w:rsidR="000701D5" w:rsidRPr="000A4945" w:rsidSect="00B73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4AA5"/>
    <w:multiLevelType w:val="hybridMultilevel"/>
    <w:tmpl w:val="4508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06005"/>
    <w:multiLevelType w:val="hybridMultilevel"/>
    <w:tmpl w:val="5FEC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E6"/>
    <w:rsid w:val="000232A8"/>
    <w:rsid w:val="000701D5"/>
    <w:rsid w:val="000A4945"/>
    <w:rsid w:val="000F73E3"/>
    <w:rsid w:val="00182096"/>
    <w:rsid w:val="001E75A1"/>
    <w:rsid w:val="002524DC"/>
    <w:rsid w:val="002544E7"/>
    <w:rsid w:val="002A77C0"/>
    <w:rsid w:val="00336578"/>
    <w:rsid w:val="0043314A"/>
    <w:rsid w:val="004863E6"/>
    <w:rsid w:val="004E10FB"/>
    <w:rsid w:val="00523922"/>
    <w:rsid w:val="005B61A5"/>
    <w:rsid w:val="005C404B"/>
    <w:rsid w:val="0064334C"/>
    <w:rsid w:val="007A337A"/>
    <w:rsid w:val="00832EA3"/>
    <w:rsid w:val="008B3B8D"/>
    <w:rsid w:val="00903E3B"/>
    <w:rsid w:val="0092039A"/>
    <w:rsid w:val="009409C6"/>
    <w:rsid w:val="009525D6"/>
    <w:rsid w:val="009A1724"/>
    <w:rsid w:val="00A77690"/>
    <w:rsid w:val="00A8118B"/>
    <w:rsid w:val="00A8202B"/>
    <w:rsid w:val="00B73983"/>
    <w:rsid w:val="00B90DD1"/>
    <w:rsid w:val="00BA1DE6"/>
    <w:rsid w:val="00C05DB2"/>
    <w:rsid w:val="00C13188"/>
    <w:rsid w:val="00C1447B"/>
    <w:rsid w:val="00C53432"/>
    <w:rsid w:val="00CA4BC0"/>
    <w:rsid w:val="00CB3666"/>
    <w:rsid w:val="00CC6DF2"/>
    <w:rsid w:val="00CF0118"/>
    <w:rsid w:val="00E33BA2"/>
    <w:rsid w:val="00E43C2D"/>
    <w:rsid w:val="00E46D53"/>
    <w:rsid w:val="00E52B16"/>
    <w:rsid w:val="00EB1E14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2DED"/>
  <w15:chartTrackingRefBased/>
  <w15:docId w15:val="{46CBAC39-1F07-42A6-B9F8-D5865123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2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Chien</dc:creator>
  <cp:keywords/>
  <dc:description/>
  <cp:lastModifiedBy>CEB</cp:lastModifiedBy>
  <cp:revision>6</cp:revision>
  <dcterms:created xsi:type="dcterms:W3CDTF">2022-03-22T18:41:00Z</dcterms:created>
  <dcterms:modified xsi:type="dcterms:W3CDTF">2022-03-22T21:28:00Z</dcterms:modified>
</cp:coreProperties>
</file>